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480" w:after="240"/>
        <w:jc w:val="center"/>
        <w:rPr/>
      </w:pPr>
      <w:r>
        <w:rPr/>
        <w:t>Template B: note to schools and universities, with a message to forward</w:t>
      </w:r>
    </w:p>
    <w:p>
      <w:pPr>
        <w:pStyle w:val="BodyText"/>
        <w:rPr>
          <w:b/>
          <w:bCs/>
        </w:rPr>
      </w:pPr>
      <w:r>
        <w:rPr/>
        <w:drawing>
          <wp:inline distT="0" distB="0" distL="0" distR="0">
            <wp:extent cx="5943600" cy="183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943600" cy="1830705"/>
                    </a:xfrm>
                    <a:prstGeom prst="rect">
                      <a:avLst/>
                    </a:prstGeom>
                    <a:noFill/>
                  </pic:spPr>
                </pic:pic>
              </a:graphicData>
            </a:graphic>
          </wp:inline>
        </w:drawing>
      </w:r>
    </w:p>
    <w:p>
      <w:pPr>
        <w:pStyle w:val="BodyText"/>
        <w:rPr/>
      </w:pPr>
      <w:r>
        <w:rPr>
          <w:b/>
          <w:bCs/>
        </w:rPr>
        <w:t>Subject:</w:t>
      </w:r>
      <w:r>
        <w:rPr/>
        <w:t xml:space="preserve"> UNITE study: invitation for your teaching staff, researchers and students</w:t>
      </w:r>
    </w:p>
    <w:p>
      <w:pPr>
        <w:pStyle w:val="BodyText"/>
        <w:rPr/>
      </w:pPr>
      <w:r>
        <w:rPr/>
        <w:t>Dear [</w:t>
      </w:r>
      <w:r>
        <w:rPr>
          <w:highlight w:val="yellow"/>
        </w:rPr>
        <w:t>name</w:t>
      </w:r>
      <w:r>
        <w:rPr/>
        <w:t>],</w:t>
      </w:r>
    </w:p>
    <w:p>
      <w:pPr>
        <w:pStyle w:val="BodyText"/>
        <w:rPr/>
      </w:pPr>
      <w:r>
        <w:rPr/>
        <w:t>[</w:t>
      </w:r>
      <w:r>
        <w:rPr>
          <w:highlight w:val="yellow"/>
        </w:rPr>
        <w:t>Association name</w:t>
      </w:r>
      <w:r>
        <w:rPr/>
        <w:t>] is supporting UNITE, an international study on osteopathic professional identity that will inform the revision of the European standard for osteopathic healthcare provision (EN 16686). Educators, researchers and students are three of the groups the study most needs to hear from.</w:t>
      </w:r>
    </w:p>
    <w:p>
      <w:pPr>
        <w:pStyle w:val="BodyText"/>
        <w:rPr/>
      </w:pPr>
      <w:r>
        <w:rPr/>
        <w:t>Could you forward the message below to your teaching staff, clinic tutors, researchers and students? Please send it to everyone, in all years of study, and make clear to students that taking part is their choice and has no link with their studies or assessment.</w:t>
      </w:r>
    </w:p>
    <w:p>
      <w:pPr>
        <w:pStyle w:val="BodyText"/>
        <w:rPr/>
      </w:pPr>
      <w:r>
        <w:rPr/>
        <w:t>Thank you for your help.</w:t>
      </w:r>
    </w:p>
    <w:p>
      <w:pPr>
        <w:pStyle w:val="BodyText"/>
        <w:rPr/>
      </w:pPr>
      <w:r>
        <w:rPr/>
        <w:t>[</w:t>
      </w:r>
      <w:r>
        <w:rPr>
          <w:highlight w:val="yellow"/>
        </w:rPr>
        <w:t>Name, role, association</w:t>
      </w:r>
      <w:r>
        <w:rPr/>
        <w:t>]</w:t>
      </w:r>
    </w:p>
    <w:p>
      <w:pPr>
        <w:pStyle w:val="Heading2"/>
        <w:rPr/>
      </w:pPr>
      <w:bookmarkStart w:id="0" w:name="message-to-forward"/>
      <w:r>
        <w:rPr/>
        <w:t>Message to forward</w:t>
      </w:r>
    </w:p>
    <w:p>
      <w:pPr>
        <w:pStyle w:val="FirstParagraph"/>
        <w:rPr/>
      </w:pPr>
      <w:r>
        <w:rPr/>
        <w:t>Dear colleagues and students,</w:t>
      </w:r>
    </w:p>
    <w:p>
      <w:pPr>
        <w:pStyle w:val="BodyText"/>
        <w:rPr/>
      </w:pPr>
      <w:r>
        <w:rPr/>
        <w:t>You are invited to take part in UNITE (UNIfying Osteopathic Identity Towards European Standards), an international study on what defines osteopathy and what it means to be an osteopath. The results will inform the revision of the European standard for osteopathic healthcare provision (EN 16686). The study is run by the Centre for Osteopathic Research and Leadership at Health Sciences University (UK), with Osteopathy Europe.</w:t>
      </w:r>
    </w:p>
    <w:p>
      <w:pPr>
        <w:pStyle w:val="BodyText"/>
        <w:rPr/>
      </w:pPr>
      <w:r>
        <w:rPr>
          <w:b/>
          <w:bCs/>
        </w:rPr>
        <w:t>Who can take part?</w:t>
      </w:r>
    </w:p>
    <w:p>
      <w:pPr>
        <w:pStyle w:val="Compact"/>
        <w:numPr>
          <w:ilvl w:val="0"/>
          <w:numId w:val="1"/>
        </w:numPr>
        <w:rPr/>
      </w:pPr>
      <w:r>
        <w:rPr>
          <w:b/>
          <w:bCs/>
        </w:rPr>
        <w:t>Educators and researchers:</w:t>
      </w:r>
      <w:r>
        <w:rPr/>
        <w:t xml:space="preserve"> you currently teach, supervise or assess osteopathic students, or you do research on osteopathy as part of your work, in a recognised osteopathic programme, a university or a research institution.</w:t>
      </w:r>
    </w:p>
    <w:p>
      <w:pPr>
        <w:pStyle w:val="Compact"/>
        <w:numPr>
          <w:ilvl w:val="0"/>
          <w:numId w:val="1"/>
        </w:numPr>
        <w:rPr/>
      </w:pPr>
      <w:r>
        <w:rPr>
          <w:b/>
          <w:bCs/>
        </w:rPr>
        <w:t>Students:</w:t>
      </w:r>
      <w:r>
        <w:rPr/>
        <w:t xml:space="preserve"> you are enrolled in a programme that leads to qualification as an osteopath. Students in all years are welcome.</w:t>
      </w:r>
    </w:p>
    <w:p>
      <w:pPr>
        <w:pStyle w:val="Compact"/>
        <w:numPr>
          <w:ilvl w:val="0"/>
          <w:numId w:val="1"/>
        </w:numPr>
        <w:rPr/>
      </w:pPr>
      <w:r>
        <w:rPr>
          <w:b/>
          <w:bCs/>
        </w:rPr>
        <w:t>Everyone:</w:t>
      </w:r>
      <w:r>
        <w:rPr/>
        <w:t xml:space="preserve"> you are 18 or over and can read and write in Dutch, English, French, German, Italian, Portuguese, Spanish or Russian.</w:t>
      </w:r>
    </w:p>
    <w:p>
      <w:pPr>
        <w:pStyle w:val="FirstParagraph"/>
        <w:rPr/>
      </w:pPr>
      <w:r>
        <w:rPr>
          <w:b/>
          <w:bCs/>
        </w:rPr>
        <w:t>What does it involve?</w:t>
      </w:r>
    </w:p>
    <w:p>
      <w:pPr>
        <w:pStyle w:val="Compact"/>
        <w:numPr>
          <w:ilvl w:val="0"/>
          <w:numId w:val="1"/>
        </w:numPr>
        <w:rPr/>
      </w:pPr>
      <w:r>
        <w:rPr>
          <w:b/>
          <w:bCs/>
        </w:rPr>
        <w:t>Now:</w:t>
      </w:r>
      <w:r>
        <w:rPr/>
        <w:t xml:space="preserve"> complete the short expression of interest form: </w:t>
      </w:r>
      <w:hyperlink r:id="rId3">
        <w:r>
          <w:rPr>
            <w:rStyle w:val="Hyperlink"/>
          </w:rPr>
          <w:t>https://redcap.hes-so.ch/surveys/?s=M83HLKXTN38E78HA</w:t>
        </w:r>
      </w:hyperlink>
      <w:r>
        <w:rPr/>
        <w:t>. Places in Stage 1 are selected from the registrations received by 9 November 2026. The form stays open after that date, and people who register later are invited to Stage 2.</w:t>
      </w:r>
    </w:p>
    <w:p>
      <w:pPr>
        <w:pStyle w:val="Compact"/>
        <w:numPr>
          <w:ilvl w:val="0"/>
          <w:numId w:val="1"/>
        </w:numPr>
        <w:rPr/>
      </w:pPr>
      <w:r>
        <w:rPr>
          <w:b/>
          <w:bCs/>
        </w:rPr>
        <w:t>From 10 November 2026 (Stage 1):</w:t>
      </w:r>
      <w:r>
        <w:rPr/>
        <w:t xml:space="preserve"> a small number of people, selected to balance groups, regions and gender, answer open questions in writing.</w:t>
      </w:r>
    </w:p>
    <w:p>
      <w:pPr>
        <w:pStyle w:val="Compact"/>
        <w:numPr>
          <w:ilvl w:val="0"/>
          <w:numId w:val="1"/>
        </w:numPr>
        <w:rPr/>
      </w:pPr>
      <w:r>
        <w:rPr>
          <w:b/>
          <w:bCs/>
        </w:rPr>
        <w:t>Early 2027 (Stage 2):</w:t>
      </w:r>
      <w:r>
        <w:rPr/>
        <w:t xml:space="preserve"> everyone who is eligible is invited to rate statements in online questionnaires.</w:t>
      </w:r>
    </w:p>
    <w:p>
      <w:pPr>
        <w:pStyle w:val="FirstParagraph"/>
        <w:rPr/>
      </w:pPr>
      <w:r>
        <w:rPr/>
        <w:t>Taking part is voluntary. The form explains the study and how your answers will be used before you decide.</w:t>
      </w:r>
    </w:p>
    <w:p>
      <w:pPr>
        <w:pStyle w:val="BodyText"/>
        <w:spacing w:before="180" w:after="180"/>
        <w:rPr/>
      </w:pPr>
      <w:r>
        <w:rPr/>
        <w:t xml:space="preserve">Questions about the study: Louisa Henson, Louisa.Henson@hsu.ac.uk. More information: </w:t>
      </w:r>
      <w:hyperlink r:id="rId4">
        <w:bookmarkEnd w:id="0"/>
        <w:r>
          <w:rPr>
            <w:rStyle w:val="Hyperlink"/>
          </w:rPr>
          <w:t>https://osteopathyeurope.org/unite/</w:t>
        </w:r>
      </w:hyperlink>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nsolas">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link w:val="Caption"/>
    <w:qFormat/>
    <w:rPr/>
  </w:style>
  <w:style w:type="character" w:styleId="VerbatimChar" w:customStyle="1">
    <w:name w:val="Verbatim Char"/>
    <w:basedOn w:val="CaptionChar"/>
    <w:link w:val="SourceCode"/>
    <w:qFormat/>
    <w:rPr>
      <w:rFonts w:ascii="Consolas" w:hAnsi="Consolas"/>
      <w:sz w:val="22"/>
    </w:rPr>
  </w:style>
  <w:style w:type="character" w:styleId="SectionNumber" w:customStyle="1">
    <w:name w:val="Section Number"/>
    <w:basedOn w:val="CaptionChar"/>
    <w:qFormat/>
    <w:rPr/>
  </w:style>
  <w:style w:type="character"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themeColor="accent1" w:val="4F81BD"/>
    </w:rPr>
  </w:style>
  <w:style w:type="character" w:styleId="KeywordTok" w:customStyle="1">
    <w:name w:val="KeywordTok"/>
    <w:basedOn w:val="VerbatimChar"/>
    <w:qFormat/>
    <w:rPr>
      <w:rFonts w:ascii="Consolas" w:hAnsi="Consolas"/>
      <w:b/>
      <w:color w:val="007020"/>
      <w:sz w:val="22"/>
    </w:rPr>
  </w:style>
  <w:style w:type="character" w:styleId="DataTypeTok" w:customStyle="1">
    <w:name w:val="DataTypeTok"/>
    <w:basedOn w:val="VerbatimChar"/>
    <w:qFormat/>
    <w:rPr>
      <w:rFonts w:ascii="Consolas" w:hAnsi="Consolas"/>
      <w:color w:val="902000"/>
      <w:sz w:val="22"/>
    </w:rPr>
  </w:style>
  <w:style w:type="character" w:styleId="DecValTok" w:customStyle="1">
    <w:name w:val="DecValTok"/>
    <w:basedOn w:val="VerbatimChar"/>
    <w:qFormat/>
    <w:rPr>
      <w:rFonts w:ascii="Consolas" w:hAnsi="Consolas"/>
      <w:color w:val="40A070"/>
      <w:sz w:val="22"/>
    </w:rPr>
  </w:style>
  <w:style w:type="character" w:styleId="BaseNTok" w:customStyle="1">
    <w:name w:val="BaseNTok"/>
    <w:basedOn w:val="VerbatimChar"/>
    <w:qFormat/>
    <w:rPr>
      <w:rFonts w:ascii="Consolas" w:hAnsi="Consolas"/>
      <w:color w:val="40A070"/>
      <w:sz w:val="22"/>
    </w:rPr>
  </w:style>
  <w:style w:type="character" w:styleId="FloatTok" w:customStyle="1">
    <w:name w:val="FloatTok"/>
    <w:basedOn w:val="VerbatimChar"/>
    <w:qFormat/>
    <w:rPr>
      <w:rFonts w:ascii="Consolas" w:hAnsi="Consolas"/>
      <w:color w:val="40A070"/>
      <w:sz w:val="22"/>
    </w:rPr>
  </w:style>
  <w:style w:type="character" w:styleId="ConstantTok" w:customStyle="1">
    <w:name w:val="ConstantTok"/>
    <w:basedOn w:val="VerbatimChar"/>
    <w:qFormat/>
    <w:rPr>
      <w:rFonts w:ascii="Consolas" w:hAnsi="Consolas"/>
      <w:color w:val="880000"/>
      <w:sz w:val="22"/>
    </w:rPr>
  </w:style>
  <w:style w:type="character" w:styleId="CharTok" w:customStyle="1">
    <w:name w:val="CharTok"/>
    <w:basedOn w:val="VerbatimChar"/>
    <w:qFormat/>
    <w:rPr>
      <w:rFonts w:ascii="Consolas" w:hAnsi="Consolas"/>
      <w:color w:val="4070A0"/>
      <w:sz w:val="22"/>
    </w:rPr>
  </w:style>
  <w:style w:type="character" w:styleId="SpecialCharTok" w:customStyle="1">
    <w:name w:val="SpecialCharTok"/>
    <w:basedOn w:val="VerbatimChar"/>
    <w:qFormat/>
    <w:rPr>
      <w:rFonts w:ascii="Consolas" w:hAnsi="Consolas"/>
      <w:color w:val="4070A0"/>
      <w:sz w:val="22"/>
    </w:rPr>
  </w:style>
  <w:style w:type="character" w:styleId="StringTok" w:customStyle="1">
    <w:name w:val="StringTok"/>
    <w:basedOn w:val="VerbatimChar"/>
    <w:qFormat/>
    <w:rPr>
      <w:rFonts w:ascii="Consolas" w:hAnsi="Consolas"/>
      <w:color w:val="4070A0"/>
      <w:sz w:val="22"/>
    </w:rPr>
  </w:style>
  <w:style w:type="character" w:styleId="VerbatimStringTok" w:customStyle="1">
    <w:name w:val="VerbatimStringTok"/>
    <w:basedOn w:val="VerbatimChar"/>
    <w:qFormat/>
    <w:rPr>
      <w:rFonts w:ascii="Consolas" w:hAnsi="Consolas"/>
      <w:color w:val="4070A0"/>
      <w:sz w:val="22"/>
    </w:rPr>
  </w:style>
  <w:style w:type="character" w:styleId="SpecialStringTok" w:customStyle="1">
    <w:name w:val="SpecialStringTok"/>
    <w:basedOn w:val="VerbatimChar"/>
    <w:qFormat/>
    <w:rPr>
      <w:rFonts w:ascii="Consolas" w:hAnsi="Consolas"/>
      <w:color w:val="BB6688"/>
      <w:sz w:val="22"/>
    </w:rPr>
  </w:style>
  <w:style w:type="character" w:styleId="ImportTok" w:customStyle="1">
    <w:name w:val="ImportTok"/>
    <w:basedOn w:val="VerbatimChar"/>
    <w:qFormat/>
    <w:rPr>
      <w:rFonts w:ascii="Consolas" w:hAnsi="Consolas"/>
      <w:b/>
      <w:color w:val="008000"/>
      <w:sz w:val="22"/>
    </w:rPr>
  </w:style>
  <w:style w:type="character" w:styleId="CommentTok" w:customStyle="1">
    <w:name w:val="CommentTok"/>
    <w:basedOn w:val="VerbatimChar"/>
    <w:qFormat/>
    <w:rPr>
      <w:rFonts w:ascii="Consolas" w:hAnsi="Consolas"/>
      <w:i/>
      <w:color w:val="60A0B0"/>
      <w:sz w:val="22"/>
    </w:rPr>
  </w:style>
  <w:style w:type="character" w:styleId="DocumentationTok" w:customStyle="1">
    <w:name w:val="DocumentationTok"/>
    <w:basedOn w:val="VerbatimChar"/>
    <w:qFormat/>
    <w:rPr>
      <w:rFonts w:ascii="Consolas" w:hAnsi="Consolas"/>
      <w:i/>
      <w:color w:val="BA2121"/>
      <w:sz w:val="22"/>
    </w:rPr>
  </w:style>
  <w:style w:type="character" w:styleId="AnnotationTok" w:customStyle="1">
    <w:name w:val="AnnotationTok"/>
    <w:basedOn w:val="VerbatimChar"/>
    <w:qFormat/>
    <w:rPr>
      <w:rFonts w:ascii="Consolas" w:hAnsi="Consolas"/>
      <w:b/>
      <w:i/>
      <w:color w:val="60A0B0"/>
      <w:sz w:val="22"/>
    </w:rPr>
  </w:style>
  <w:style w:type="character" w:styleId="CommentVarTok" w:customStyle="1">
    <w:name w:val="CommentVarTok"/>
    <w:basedOn w:val="VerbatimChar"/>
    <w:qFormat/>
    <w:rPr>
      <w:rFonts w:ascii="Consolas" w:hAnsi="Consolas"/>
      <w:b/>
      <w:i/>
      <w:color w:val="60A0B0"/>
      <w:sz w:val="22"/>
    </w:rPr>
  </w:style>
  <w:style w:type="character" w:styleId="OtherTok" w:customStyle="1">
    <w:name w:val="OtherTok"/>
    <w:basedOn w:val="VerbatimChar"/>
    <w:qFormat/>
    <w:rPr>
      <w:rFonts w:ascii="Consolas" w:hAnsi="Consolas"/>
      <w:color w:val="007020"/>
      <w:sz w:val="22"/>
    </w:rPr>
  </w:style>
  <w:style w:type="character" w:styleId="FunctionTok" w:customStyle="1">
    <w:name w:val="FunctionTok"/>
    <w:basedOn w:val="VerbatimChar"/>
    <w:qFormat/>
    <w:rPr>
      <w:rFonts w:ascii="Consolas" w:hAnsi="Consolas"/>
      <w:color w:val="06287E"/>
      <w:sz w:val="22"/>
    </w:rPr>
  </w:style>
  <w:style w:type="character" w:styleId="VariableTok" w:customStyle="1">
    <w:name w:val="VariableTok"/>
    <w:basedOn w:val="VerbatimChar"/>
    <w:qFormat/>
    <w:rPr>
      <w:rFonts w:ascii="Consolas" w:hAnsi="Consolas"/>
      <w:color w:val="19177C"/>
      <w:sz w:val="22"/>
    </w:rPr>
  </w:style>
  <w:style w:type="character" w:styleId="ControlFlowTok" w:customStyle="1">
    <w:name w:val="ControlFlowTok"/>
    <w:basedOn w:val="VerbatimChar"/>
    <w:qFormat/>
    <w:rPr>
      <w:rFonts w:ascii="Consolas" w:hAnsi="Consolas"/>
      <w:b/>
      <w:color w:val="007020"/>
      <w:sz w:val="22"/>
    </w:rPr>
  </w:style>
  <w:style w:type="character" w:styleId="OperatorTok" w:customStyle="1">
    <w:name w:val="OperatorTok"/>
    <w:basedOn w:val="VerbatimChar"/>
    <w:qFormat/>
    <w:rPr>
      <w:rFonts w:ascii="Consolas" w:hAnsi="Consolas"/>
      <w:color w:val="666666"/>
      <w:sz w:val="22"/>
    </w:rPr>
  </w:style>
  <w:style w:type="character" w:styleId="BuiltInTok" w:customStyle="1">
    <w:name w:val="BuiltInTok"/>
    <w:basedOn w:val="VerbatimChar"/>
    <w:qFormat/>
    <w:rPr>
      <w:rFonts w:ascii="Consolas" w:hAnsi="Consolas"/>
      <w:color w:val="008000"/>
      <w:sz w:val="22"/>
    </w:rPr>
  </w:style>
  <w:style w:type="character" w:styleId="ExtensionTok" w:customStyle="1">
    <w:name w:val="ExtensionTok"/>
    <w:basedOn w:val="VerbatimChar"/>
    <w:qFormat/>
    <w:rPr>
      <w:rFonts w:ascii="Consolas" w:hAnsi="Consolas"/>
      <w:sz w:val="22"/>
    </w:rPr>
  </w:style>
  <w:style w:type="character" w:styleId="PreprocessorTok" w:customStyle="1">
    <w:name w:val="PreprocessorTok"/>
    <w:basedOn w:val="VerbatimChar"/>
    <w:qFormat/>
    <w:rPr>
      <w:rFonts w:ascii="Consolas" w:hAnsi="Consolas"/>
      <w:color w:val="BC7A00"/>
      <w:sz w:val="22"/>
    </w:rPr>
  </w:style>
  <w:style w:type="character" w:styleId="AttributeTok" w:customStyle="1">
    <w:name w:val="AttributeTok"/>
    <w:basedOn w:val="VerbatimChar"/>
    <w:qFormat/>
    <w:rPr>
      <w:rFonts w:ascii="Consolas" w:hAnsi="Consolas"/>
      <w:color w:val="7D9029"/>
      <w:sz w:val="22"/>
    </w:rPr>
  </w:style>
  <w:style w:type="character" w:styleId="RegionMarkerTok" w:customStyle="1">
    <w:name w:val="RegionMarkerTok"/>
    <w:basedOn w:val="VerbatimChar"/>
    <w:qFormat/>
    <w:rPr>
      <w:rFonts w:ascii="Consolas" w:hAnsi="Consolas"/>
      <w:sz w:val="22"/>
    </w:rPr>
  </w:style>
  <w:style w:type="character" w:styleId="InformationTok" w:customStyle="1">
    <w:name w:val="InformationTok"/>
    <w:basedOn w:val="VerbatimChar"/>
    <w:qFormat/>
    <w:rPr>
      <w:rFonts w:ascii="Consolas" w:hAnsi="Consolas"/>
      <w:b/>
      <w:i/>
      <w:color w:val="60A0B0"/>
      <w:sz w:val="22"/>
    </w:rPr>
  </w:style>
  <w:style w:type="character" w:styleId="WarningTok" w:customStyle="1">
    <w:name w:val="WarningTok"/>
    <w:basedOn w:val="VerbatimChar"/>
    <w:qFormat/>
    <w:rPr>
      <w:rFonts w:ascii="Consolas" w:hAnsi="Consolas"/>
      <w:b/>
      <w:i/>
      <w:color w:val="60A0B0"/>
      <w:sz w:val="22"/>
    </w:rPr>
  </w:style>
  <w:style w:type="character" w:styleId="AlertTok" w:customStyle="1">
    <w:name w:val="AlertTok"/>
    <w:basedOn w:val="VerbatimChar"/>
    <w:qFormat/>
    <w:rPr>
      <w:rFonts w:ascii="Consolas" w:hAnsi="Consolas"/>
      <w:b/>
      <w:color w:val="FF0000"/>
      <w:sz w:val="22"/>
    </w:rPr>
  </w:style>
  <w:style w:type="character" w:styleId="ErrorTok" w:customStyle="1">
    <w:name w:val="ErrorTok"/>
    <w:basedOn w:val="VerbatimChar"/>
    <w:qFormat/>
    <w:rPr>
      <w:rFonts w:ascii="Consolas" w:hAnsi="Consolas"/>
      <w:b/>
      <w:color w:val="FF0000"/>
      <w:sz w:val="22"/>
    </w:rPr>
  </w:style>
  <w:style w:type="character" w:styleId="NormalTok" w:customStyle="1">
    <w:name w:val="NormalTok"/>
    <w:basedOn w:val="VerbatimChar"/>
    <w:qFormat/>
    <w:rPr>
      <w:rFonts w:ascii="Consolas" w:hAnsi="Consolas"/>
      <w:sz w:val="22"/>
    </w:rPr>
  </w:style>
  <w:style w:type="character" w:styleId="UnresolvedMention">
    <w:name w:val="Unresolved Mention"/>
    <w:basedOn w:val="DefaultParagraphFont"/>
    <w:uiPriority w:val="99"/>
    <w:semiHidden/>
    <w:unhideWhenUsed/>
    <w:qFormat/>
    <w:rsid w:val="000c711a"/>
    <w:rPr>
      <w:color w:val="605E5C"/>
      <w:shd w:fill="E1DFDD" w:val="clear"/>
    </w:rPr>
  </w:style>
  <w:style w:type="character" w:styleId="CommentReference">
    <w:name w:val="annotation reference"/>
    <w:basedOn w:val="DefaultParagraphFont"/>
    <w:qFormat/>
    <w:rsid w:val="000c711a"/>
    <w:rPr>
      <w:sz w:val="16"/>
      <w:szCs w:val="16"/>
    </w:rPr>
  </w:style>
  <w:style w:type="character" w:styleId="CommentTextChar" w:customStyle="1">
    <w:name w:val="Comment Text Char"/>
    <w:basedOn w:val="DefaultParagraphFont"/>
    <w:link w:val="CommentText"/>
    <w:qFormat/>
    <w:rsid w:val="000c711a"/>
    <w:rPr>
      <w:sz w:val="20"/>
      <w:szCs w:val="20"/>
    </w:rPr>
  </w:style>
  <w:style w:type="character" w:styleId="CommentSubjectChar" w:customStyle="1">
    <w:name w:val="Comment Subject Char"/>
    <w:basedOn w:val="CommentTextChar"/>
    <w:link w:val="annotationsubject"/>
    <w:qFormat/>
    <w:rsid w:val="000c711a"/>
    <w:rPr>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qFormat/>
    <w:pPr>
      <w:spacing w:before="180" w:after="180"/>
    </w:pPr>
    <w:rPr/>
  </w:style>
  <w:style w:type="paragraph" w:styleId="List">
    <w:name w:val="List"/>
    <w:basedOn w:val="BodyText"/>
    <w:pPr/>
    <w:rPr>
      <w:rFonts w:cs="Arial"/>
    </w:rPr>
  </w:style>
  <w:style w:type="paragraph" w:styleId="Caption">
    <w:name w:val="caption"/>
    <w:basedOn w:val="Normal"/>
    <w:link w:val="CaptionChar"/>
    <w:qFormat/>
    <w:pPr>
      <w:spacing w:before="0" w:after="120"/>
    </w:pPr>
    <w:rPr>
      <w:i/>
    </w:rPr>
  </w:style>
  <w:style w:type="paragraph" w:styleId="Index">
    <w:name w:val="Index"/>
    <w:basedOn w:val="Normal"/>
    <w:qFormat/>
    <w:pPr>
      <w:suppressLineNumbers/>
    </w:pPr>
    <w:rPr>
      <w:rFonts w:cs="Arial"/>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spacing w:before="240" w:after="240"/>
    </w:pPr>
    <w:rPr>
      <w:sz w:val="30"/>
      <w:szCs w:val="30"/>
    </w:rPr>
  </w:style>
  <w:style w:type="paragraph" w:styleId="Author" w:customStyle="1">
    <w:name w:val="Author"/>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b w:val="false"/>
      <w:bCs w:val="false"/>
      <w:color w:themeColor="accent1" w:themeShade="bf" w:val="365F91"/>
    </w:rPr>
  </w:style>
  <w:style w:type="paragraph" w:styleId="SourceCode" w:customStyle="1">
    <w:name w:val="Source Code"/>
    <w:basedOn w:val="Normal"/>
    <w:link w:val="VerbatimChar"/>
    <w:qFormat/>
    <w:pPr/>
    <w:rPr/>
  </w:style>
  <w:style w:type="paragraph" w:styleId="CommentText">
    <w:name w:val="annotation text"/>
    <w:basedOn w:val="Normal"/>
    <w:link w:val="CommentTextChar"/>
    <w:rsid w:val="000c711a"/>
    <w:pPr/>
    <w:rPr>
      <w:sz w:val="20"/>
      <w:szCs w:val="20"/>
    </w:rPr>
  </w:style>
  <w:style w:type="paragraph" w:styleId="annotationsubject">
    <w:name w:val="annotation subject"/>
    <w:basedOn w:val="CommentText"/>
    <w:next w:val="CommentText"/>
    <w:link w:val="CommentSubjectChar"/>
    <w:qFormat/>
    <w:rsid w:val="000c711a"/>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color="auto" w:sz="0" w:space="0"/>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redcap.hes-so.ch/surveys/?s=M83HLKXTN38E78HA" TargetMode="External"/><Relationship Id="rId4" Type="http://schemas.openxmlformats.org/officeDocument/2006/relationships/hyperlink" Target="https://osteopathyeurope.org/unite/"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LibreOffice/26.2.6.3$Windows_X86_64 LibreOffice_project/8221e31b3ac356a1623c672912a3d2b492f7e3d1</Application>
  <AppVersion>15.0000</AppVersion>
  <Pages>2</Pages>
  <Words>389</Words>
  <Characters>2148</Characters>
  <CharactersWithSpaces>2511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2026-10-23T14:31:00Z</dcterms:created>
  <dc:creator/>
  <dc:description/>
  <dc:language>en-US</dc:language>
  <cp:lastModifiedBy/>
  <dcterms:modified xsi:type="dcterms:W3CDTF">2026-11-01T14:30:11Z</dcterms:modified>
  <cp:revision>4</cp:revision>
  <dc:subject/>
  <dc:title>Template B: note to schools and universities, with a message to forward</dc:title>
</cp:coreProperties>
</file>

<file path=docProps/custom.xml><?xml version="1.0" encoding="utf-8"?>
<Properties xmlns="http://schemas.openxmlformats.org/officeDocument/2006/custom-properties" xmlns:vt="http://schemas.openxmlformats.org/officeDocument/2006/docPropsVTypes"/>
</file>